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FC9F" w14:textId="44505CA9" w:rsidR="00A85095" w:rsidRDefault="00277F8B">
      <w:r>
        <w:t>Copy  for Liposomal Glutathione</w:t>
      </w:r>
    </w:p>
    <w:p w14:paraId="3C9550C1" w14:textId="77777777" w:rsidR="00277F8B" w:rsidRDefault="00277F8B"/>
    <w:p w14:paraId="207E6999" w14:textId="54BF3DAE" w:rsidR="00277F8B" w:rsidRPr="00277F8B" w:rsidRDefault="001E71D6" w:rsidP="00277F8B">
      <w:pPr>
        <w:shd w:val="clear" w:color="auto" w:fill="FFFFFF"/>
        <w:spacing w:beforeAutospacing="1" w:afterAutospacing="1" w:line="336" w:lineRule="atLeast"/>
        <w:textAlignment w:val="baseline"/>
        <w:rPr>
          <w:rFonts w:ascii="Arial" w:eastAsia="Times New Roman" w:hAnsi="Arial" w:cs="Arial"/>
          <w:color w:val="17293F"/>
          <w:kern w:val="0"/>
          <w:sz w:val="23"/>
          <w:szCs w:val="23"/>
          <w14:ligatures w14:val="none"/>
        </w:rPr>
      </w:pPr>
      <w:r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Aid with d</w:t>
      </w:r>
      <w:r w:rsidR="00277F8B" w:rsidRPr="00277F8B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etox</w:t>
      </w:r>
      <w:r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ification</w:t>
      </w:r>
      <w:r w:rsidR="00277F8B" w:rsidRPr="00277F8B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 xml:space="preserve"> </w:t>
      </w:r>
      <w:r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using</w:t>
      </w:r>
      <w:r w:rsidR="00277F8B" w:rsidRPr="00277F8B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 xml:space="preserve"> a highly bioavailable </w:t>
      </w:r>
      <w:r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 xml:space="preserve">liposomal </w:t>
      </w:r>
      <w:r w:rsidR="00277F8B" w:rsidRPr="00277F8B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form of the body’s master antioxidant supporting healthy aging, immunity, and detoxification.  </w:t>
      </w:r>
    </w:p>
    <w:p w14:paraId="2CA5DE09" w14:textId="3390F8AD" w:rsidR="00277F8B" w:rsidRPr="00277F8B" w:rsidRDefault="00277F8B" w:rsidP="00277F8B">
      <w:pPr>
        <w:shd w:val="clear" w:color="auto" w:fill="FFFFFF"/>
        <w:spacing w:beforeAutospacing="1" w:afterAutospacing="1" w:line="336" w:lineRule="atLeast"/>
        <w:textAlignment w:val="baseline"/>
        <w:rPr>
          <w:rFonts w:ascii="Arial" w:eastAsia="Times New Roman" w:hAnsi="Arial" w:cs="Arial"/>
          <w:color w:val="17293F"/>
          <w:kern w:val="0"/>
          <w:sz w:val="23"/>
          <w:szCs w:val="23"/>
          <w14:ligatures w14:val="none"/>
        </w:rPr>
      </w:pPr>
      <w:r w:rsidRPr="00277F8B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 xml:space="preserve">Glutathione is present in </w:t>
      </w:r>
      <w:r w:rsidR="001E71D6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most</w:t>
      </w:r>
      <w:r w:rsidRPr="00277F8B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 xml:space="preserve"> cell</w:t>
      </w:r>
      <w:r w:rsidR="001E71D6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s</w:t>
      </w:r>
      <w:r w:rsidRPr="00277F8B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 xml:space="preserve"> of the body with concentrations highest in the liver. </w:t>
      </w:r>
      <w:r w:rsidR="001E71D6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T</w:t>
      </w:r>
      <w:r w:rsidRPr="00277F8B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he liver is constantly processing and removing toxins and needs glutathione to support these detoxification efforts.  </w:t>
      </w:r>
    </w:p>
    <w:p w14:paraId="2F6B7EAA" w14:textId="5CD47A71" w:rsidR="00277F8B" w:rsidRPr="00277F8B" w:rsidRDefault="00277F8B" w:rsidP="00277F8B">
      <w:pPr>
        <w:shd w:val="clear" w:color="auto" w:fill="FFFFFF"/>
        <w:spacing w:beforeAutospacing="1" w:afterAutospacing="1" w:line="336" w:lineRule="atLeast"/>
        <w:textAlignment w:val="baseline"/>
        <w:rPr>
          <w:rFonts w:ascii="Arial" w:eastAsia="Times New Roman" w:hAnsi="Arial" w:cs="Arial"/>
          <w:color w:val="17293F"/>
          <w:kern w:val="0"/>
          <w:sz w:val="23"/>
          <w:szCs w:val="23"/>
          <w14:ligatures w14:val="none"/>
        </w:rPr>
      </w:pPr>
      <w:r>
        <w:rPr>
          <w:rFonts w:ascii="Arial" w:eastAsia="Times New Roman" w:hAnsi="Arial" w:cs="Arial"/>
          <w:b/>
          <w:bCs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Highlights</w:t>
      </w:r>
    </w:p>
    <w:p w14:paraId="49E712DA" w14:textId="77777777" w:rsidR="00277F8B" w:rsidRPr="00277F8B" w:rsidRDefault="00277F8B" w:rsidP="00277F8B">
      <w:pPr>
        <w:numPr>
          <w:ilvl w:val="0"/>
          <w:numId w:val="1"/>
        </w:numPr>
        <w:shd w:val="clear" w:color="auto" w:fill="FFFFFF"/>
        <w:spacing w:beforeAutospacing="1" w:afterAutospacing="1" w:line="390" w:lineRule="atLeast"/>
        <w:ind w:left="1530"/>
        <w:textAlignment w:val="baseline"/>
        <w:rPr>
          <w:rFonts w:ascii="Arial" w:eastAsia="Times New Roman" w:hAnsi="Arial" w:cs="Arial"/>
          <w:color w:val="17293F"/>
          <w:kern w:val="0"/>
          <w:sz w:val="23"/>
          <w:szCs w:val="23"/>
          <w14:ligatures w14:val="none"/>
        </w:rPr>
      </w:pPr>
      <w:r w:rsidRPr="00277F8B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Antioxidant support </w:t>
      </w:r>
    </w:p>
    <w:p w14:paraId="40CB1FE5" w14:textId="77777777" w:rsidR="00277F8B" w:rsidRPr="00277F8B" w:rsidRDefault="00277F8B" w:rsidP="00277F8B">
      <w:pPr>
        <w:numPr>
          <w:ilvl w:val="0"/>
          <w:numId w:val="1"/>
        </w:numPr>
        <w:shd w:val="clear" w:color="auto" w:fill="FFFFFF"/>
        <w:spacing w:beforeAutospacing="1" w:afterAutospacing="1" w:line="390" w:lineRule="atLeast"/>
        <w:ind w:left="1530"/>
        <w:textAlignment w:val="baseline"/>
        <w:rPr>
          <w:rFonts w:ascii="Arial" w:eastAsia="Times New Roman" w:hAnsi="Arial" w:cs="Arial"/>
          <w:color w:val="17293F"/>
          <w:kern w:val="0"/>
          <w:sz w:val="23"/>
          <w:szCs w:val="23"/>
          <w14:ligatures w14:val="none"/>
        </w:rPr>
      </w:pPr>
      <w:r w:rsidRPr="00277F8B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Detoxification </w:t>
      </w:r>
    </w:p>
    <w:p w14:paraId="4B9360D8" w14:textId="77777777" w:rsidR="00277F8B" w:rsidRPr="00277F8B" w:rsidRDefault="00277F8B" w:rsidP="00277F8B">
      <w:pPr>
        <w:numPr>
          <w:ilvl w:val="0"/>
          <w:numId w:val="1"/>
        </w:numPr>
        <w:shd w:val="clear" w:color="auto" w:fill="FFFFFF"/>
        <w:spacing w:beforeAutospacing="1" w:afterAutospacing="1" w:line="390" w:lineRule="atLeast"/>
        <w:ind w:left="1530"/>
        <w:textAlignment w:val="baseline"/>
        <w:rPr>
          <w:rFonts w:ascii="Arial" w:eastAsia="Times New Roman" w:hAnsi="Arial" w:cs="Arial"/>
          <w:color w:val="17293F"/>
          <w:kern w:val="0"/>
          <w:sz w:val="23"/>
          <w:szCs w:val="23"/>
          <w14:ligatures w14:val="none"/>
        </w:rPr>
      </w:pPr>
      <w:r w:rsidRPr="00277F8B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Energy production </w:t>
      </w:r>
    </w:p>
    <w:p w14:paraId="6FF71156" w14:textId="77777777" w:rsidR="00277F8B" w:rsidRPr="00277F8B" w:rsidRDefault="00277F8B" w:rsidP="00277F8B">
      <w:pPr>
        <w:numPr>
          <w:ilvl w:val="0"/>
          <w:numId w:val="1"/>
        </w:numPr>
        <w:shd w:val="clear" w:color="auto" w:fill="FFFFFF"/>
        <w:spacing w:beforeAutospacing="1" w:afterAutospacing="1" w:line="390" w:lineRule="atLeast"/>
        <w:ind w:left="1530"/>
        <w:textAlignment w:val="baseline"/>
        <w:rPr>
          <w:rFonts w:ascii="Arial" w:eastAsia="Times New Roman" w:hAnsi="Arial" w:cs="Arial"/>
          <w:color w:val="17293F"/>
          <w:kern w:val="0"/>
          <w:sz w:val="23"/>
          <w:szCs w:val="23"/>
          <w14:ligatures w14:val="none"/>
        </w:rPr>
      </w:pPr>
      <w:r w:rsidRPr="00277F8B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Immune function </w:t>
      </w:r>
    </w:p>
    <w:p w14:paraId="2C78D63F" w14:textId="0E0D0C17" w:rsidR="00277F8B" w:rsidRPr="001E71D6" w:rsidRDefault="00277F8B" w:rsidP="001E71D6">
      <w:pPr>
        <w:numPr>
          <w:ilvl w:val="0"/>
          <w:numId w:val="1"/>
        </w:numPr>
        <w:shd w:val="clear" w:color="auto" w:fill="FFFFFF"/>
        <w:spacing w:beforeAutospacing="1" w:afterAutospacing="1" w:line="390" w:lineRule="atLeast"/>
        <w:ind w:left="1530"/>
        <w:textAlignment w:val="baseline"/>
        <w:rPr>
          <w:rFonts w:ascii="Arial" w:eastAsia="Times New Roman" w:hAnsi="Arial" w:cs="Arial"/>
          <w:color w:val="17293F"/>
          <w:kern w:val="0"/>
          <w:sz w:val="23"/>
          <w:szCs w:val="23"/>
          <w14:ligatures w14:val="none"/>
        </w:rPr>
      </w:pPr>
      <w:r w:rsidRPr="00277F8B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Healthy aging  </w:t>
      </w:r>
    </w:p>
    <w:p w14:paraId="07DA2A43" w14:textId="1D844017" w:rsidR="00277F8B" w:rsidRDefault="00277F8B" w:rsidP="00277F8B">
      <w:pPr>
        <w:shd w:val="clear" w:color="auto" w:fill="FFFFFF"/>
        <w:spacing w:beforeAutospacing="1" w:afterAutospacing="1" w:line="336" w:lineRule="atLeast"/>
        <w:textAlignment w:val="baseline"/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SKU: 197974131509</w:t>
      </w:r>
    </w:p>
    <w:p w14:paraId="375B2440" w14:textId="6F88AFA5" w:rsidR="00031388" w:rsidRDefault="00031388" w:rsidP="00277F8B">
      <w:pPr>
        <w:shd w:val="clear" w:color="auto" w:fill="FFFFFF"/>
        <w:spacing w:beforeAutospacing="1" w:afterAutospacing="1" w:line="336" w:lineRule="atLeast"/>
        <w:textAlignment w:val="baseline"/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Price: $45.00</w:t>
      </w:r>
    </w:p>
    <w:p w14:paraId="1AE67627" w14:textId="77777777" w:rsidR="001E71D6" w:rsidRDefault="001E71D6" w:rsidP="00277F8B">
      <w:pPr>
        <w:shd w:val="clear" w:color="auto" w:fill="FFFFFF"/>
        <w:spacing w:beforeAutospacing="1" w:afterAutospacing="1" w:line="336" w:lineRule="atLeast"/>
        <w:textAlignment w:val="baseline"/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25958C40" w14:textId="71F8ABD7" w:rsidR="001E71D6" w:rsidRDefault="001E71D6" w:rsidP="001E71D6">
      <w:pPr>
        <w:shd w:val="clear" w:color="auto" w:fill="FFFFFF"/>
        <w:spacing w:beforeAutospacing="1" w:afterAutospacing="1" w:line="336" w:lineRule="atLeast"/>
        <w:textAlignment w:val="baseline"/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 xml:space="preserve">Description: Glutathione </w:t>
      </w:r>
      <w:r w:rsidRPr="00277F8B"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NET WT 1.7 FL OZ / 50ml</w:t>
      </w:r>
    </w:p>
    <w:p w14:paraId="02E1CA98" w14:textId="2AAC5A16" w:rsidR="001E71D6" w:rsidRPr="00277F8B" w:rsidRDefault="001E71D6" w:rsidP="00277F8B">
      <w:pPr>
        <w:shd w:val="clear" w:color="auto" w:fill="FFFFFF"/>
        <w:spacing w:beforeAutospacing="1" w:afterAutospacing="1" w:line="336" w:lineRule="atLeast"/>
        <w:textAlignment w:val="baseline"/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17293F"/>
          <w:kern w:val="0"/>
          <w:sz w:val="23"/>
          <w:szCs w:val="23"/>
          <w:bdr w:val="none" w:sz="0" w:space="0" w:color="auto" w:frame="1"/>
          <w14:ligatures w14:val="none"/>
        </w:rPr>
        <w:t>REFRIDGERATE UPON ARRIVAL</w:t>
      </w:r>
    </w:p>
    <w:p w14:paraId="2B045683" w14:textId="77777777" w:rsidR="00277F8B" w:rsidRDefault="00277F8B"/>
    <w:p w14:paraId="18CEB956" w14:textId="4FA50FAB" w:rsidR="00277F8B" w:rsidRPr="00277F8B" w:rsidRDefault="00277F8B" w:rsidP="00277F8B">
      <w:pPr>
        <w:shd w:val="clear" w:color="auto" w:fill="FFFFFF"/>
        <w:textAlignment w:val="baseline"/>
        <w:outlineLvl w:val="2"/>
        <w:rPr>
          <w:rFonts w:ascii="Arial" w:eastAsia="Times New Roman" w:hAnsi="Arial" w:cs="Arial"/>
          <w:b/>
          <w:bCs/>
          <w:color w:val="4B4F58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b/>
          <w:bCs/>
          <w:color w:val="4B4F58"/>
          <w:kern w:val="0"/>
          <w:sz w:val="27"/>
          <w:szCs w:val="27"/>
          <w14:ligatures w14:val="none"/>
        </w:rPr>
        <w:t xml:space="preserve">Suggested </w:t>
      </w:r>
      <w:r w:rsidRPr="00277F8B">
        <w:rPr>
          <w:rFonts w:ascii="Arial" w:eastAsia="Times New Roman" w:hAnsi="Arial" w:cs="Arial"/>
          <w:b/>
          <w:bCs/>
          <w:color w:val="4B4F58"/>
          <w:kern w:val="0"/>
          <w:sz w:val="27"/>
          <w:szCs w:val="27"/>
          <w14:ligatures w14:val="none"/>
        </w:rPr>
        <w:t>Use</w:t>
      </w:r>
    </w:p>
    <w:p w14:paraId="4DA8CE31" w14:textId="77777777" w:rsidR="00277F8B" w:rsidRPr="00277F8B" w:rsidRDefault="00277F8B" w:rsidP="00277F8B">
      <w:pPr>
        <w:shd w:val="clear" w:color="auto" w:fill="FFFFFF"/>
        <w:spacing w:before="100" w:beforeAutospacing="1" w:after="100" w:afterAutospacing="1" w:line="390" w:lineRule="atLeast"/>
        <w:textAlignment w:val="baseline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77F8B">
        <w:rPr>
          <w:rFonts w:ascii="Arial" w:eastAsia="Times New Roman" w:hAnsi="Arial" w:cs="Arial"/>
          <w:kern w:val="0"/>
          <w:sz w:val="23"/>
          <w:szCs w:val="23"/>
          <w14:ligatures w14:val="none"/>
        </w:rPr>
        <w:t>Take 2 pumps. Hold in mouth for 30 seconds before swallowing. Repeat to the desired dosage or as directed by a healthcare professional. Take on an empty stomach, at least 10 minutes before meals. Use within 30 days of opening. Store away from light. If pregnant, breast-feeding or planning to become pregnant, consult your physician before use.</w:t>
      </w:r>
    </w:p>
    <w:p w14:paraId="5FFB0ABF" w14:textId="77777777" w:rsidR="00277F8B" w:rsidRPr="00277F8B" w:rsidRDefault="00277F8B" w:rsidP="00277F8B">
      <w:pPr>
        <w:shd w:val="clear" w:color="auto" w:fill="FFFFFF"/>
        <w:spacing w:before="100" w:beforeAutospacing="1" w:after="100" w:afterAutospacing="1" w:line="390" w:lineRule="atLeast"/>
        <w:jc w:val="center"/>
        <w:textAlignment w:val="baseline"/>
        <w:rPr>
          <w:rFonts w:ascii="Arial" w:eastAsia="Times New Roman" w:hAnsi="Arial" w:cs="Arial"/>
          <w:color w:val="1A1A1A"/>
          <w:kern w:val="0"/>
          <w:sz w:val="23"/>
          <w:szCs w:val="23"/>
          <w14:ligatures w14:val="none"/>
        </w:rPr>
      </w:pPr>
      <w:r w:rsidRPr="00277F8B">
        <w:rPr>
          <w:rFonts w:ascii="Arial" w:eastAsia="Times New Roman" w:hAnsi="Arial" w:cs="Arial"/>
          <w:color w:val="1A1A1A"/>
          <w:kern w:val="0"/>
          <w:sz w:val="23"/>
          <w:szCs w:val="23"/>
          <w14:ligatures w14:val="none"/>
        </w:rPr>
        <w:t xml:space="preserve">*These statements have not been evaluated by the Food and Drug Administration. This product is not intended to diagnose, treat, </w:t>
      </w:r>
      <w:proofErr w:type="gramStart"/>
      <w:r w:rsidRPr="00277F8B">
        <w:rPr>
          <w:rFonts w:ascii="Arial" w:eastAsia="Times New Roman" w:hAnsi="Arial" w:cs="Arial"/>
          <w:color w:val="1A1A1A"/>
          <w:kern w:val="0"/>
          <w:sz w:val="23"/>
          <w:szCs w:val="23"/>
          <w14:ligatures w14:val="none"/>
        </w:rPr>
        <w:t>cure</w:t>
      </w:r>
      <w:proofErr w:type="gramEnd"/>
      <w:r w:rsidRPr="00277F8B">
        <w:rPr>
          <w:rFonts w:ascii="Arial" w:eastAsia="Times New Roman" w:hAnsi="Arial" w:cs="Arial"/>
          <w:color w:val="1A1A1A"/>
          <w:kern w:val="0"/>
          <w:sz w:val="23"/>
          <w:szCs w:val="23"/>
          <w14:ligatures w14:val="none"/>
        </w:rPr>
        <w:t xml:space="preserve"> or prevent any disease.</w:t>
      </w:r>
    </w:p>
    <w:p w14:paraId="47FB701D" w14:textId="77777777" w:rsidR="00277F8B" w:rsidRDefault="00277F8B"/>
    <w:p w14:paraId="35123B74" w14:textId="77777777" w:rsidR="00277F8B" w:rsidRDefault="00277F8B"/>
    <w:p w14:paraId="18D4C517" w14:textId="77777777" w:rsidR="00277F8B" w:rsidRDefault="00277F8B"/>
    <w:p w14:paraId="66412CF4" w14:textId="77777777" w:rsidR="00277F8B" w:rsidRDefault="00277F8B"/>
    <w:p w14:paraId="0E115BDD" w14:textId="77777777" w:rsidR="00277F8B" w:rsidRDefault="00277F8B"/>
    <w:p w14:paraId="0C4200DF" w14:textId="77777777" w:rsidR="00277F8B" w:rsidRDefault="00277F8B"/>
    <w:sectPr w:rsidR="00277F8B" w:rsidSect="007D2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772E9"/>
    <w:multiLevelType w:val="multilevel"/>
    <w:tmpl w:val="70FC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667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8B"/>
    <w:rsid w:val="00031388"/>
    <w:rsid w:val="000E6471"/>
    <w:rsid w:val="0019110E"/>
    <w:rsid w:val="001C4B9A"/>
    <w:rsid w:val="001E71D6"/>
    <w:rsid w:val="002446FA"/>
    <w:rsid w:val="00277F8B"/>
    <w:rsid w:val="0040797C"/>
    <w:rsid w:val="005E7E01"/>
    <w:rsid w:val="007D203C"/>
    <w:rsid w:val="00A8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12634"/>
  <w14:defaultImageDpi w14:val="32767"/>
  <w15:chartTrackingRefBased/>
  <w15:docId w15:val="{19EFCB60-B648-E749-87D8-C2C1019B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F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F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F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F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7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F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F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F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F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F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7F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277F8B"/>
  </w:style>
  <w:style w:type="character" w:customStyle="1" w:styleId="eop">
    <w:name w:val="eop"/>
    <w:basedOn w:val="DefaultParagraphFont"/>
    <w:rsid w:val="0027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09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8610">
          <w:marLeft w:val="0"/>
          <w:marRight w:val="0"/>
          <w:marTop w:val="15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Parke</dc:creator>
  <cp:keywords/>
  <dc:description/>
  <cp:lastModifiedBy>Emily Parke</cp:lastModifiedBy>
  <cp:revision>2</cp:revision>
  <dcterms:created xsi:type="dcterms:W3CDTF">2024-05-03T16:40:00Z</dcterms:created>
  <dcterms:modified xsi:type="dcterms:W3CDTF">2024-05-03T16:40:00Z</dcterms:modified>
</cp:coreProperties>
</file>